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67" w:rsidRDefault="00EF7E67" w:rsidP="00EF7E67">
      <w:pPr>
        <w:jc w:val="center"/>
        <w:rPr>
          <w:b/>
          <w:szCs w:val="24"/>
        </w:rPr>
      </w:pPr>
      <w:bookmarkStart w:id="0" w:name="_GoBack"/>
      <w:bookmarkEnd w:id="0"/>
      <w:r>
        <w:rPr>
          <w:b/>
          <w:szCs w:val="24"/>
        </w:rPr>
        <w:t>PAM REHABILITATION HOSPITAL OF ROUND ROCK</w:t>
      </w:r>
    </w:p>
    <w:p w:rsidR="00EF7E67" w:rsidRDefault="00EF7E67" w:rsidP="00EF7E67">
      <w:pPr>
        <w:jc w:val="center"/>
        <w:rPr>
          <w:b/>
          <w:szCs w:val="24"/>
        </w:rPr>
      </w:pPr>
    </w:p>
    <w:p w:rsidR="00EF7E67" w:rsidRDefault="00EF7E67" w:rsidP="00EF7E67">
      <w:pPr>
        <w:jc w:val="center"/>
        <w:rPr>
          <w:b/>
          <w:szCs w:val="24"/>
        </w:rPr>
      </w:pPr>
      <w:r w:rsidRPr="00D576C4">
        <w:rPr>
          <w:b/>
          <w:szCs w:val="24"/>
        </w:rPr>
        <w:t>FINANCIAL ASSISTANCE POLICY</w:t>
      </w:r>
    </w:p>
    <w:p w:rsidR="00EF7E67" w:rsidRPr="00EF7E67" w:rsidRDefault="00EF7E67" w:rsidP="00EF7E67">
      <w:pPr>
        <w:jc w:val="center"/>
        <w:rPr>
          <w:b/>
          <w:szCs w:val="24"/>
        </w:rPr>
      </w:pPr>
    </w:p>
    <w:p w:rsidR="00EF7E67" w:rsidRDefault="00EF7E67" w:rsidP="00EF7E67">
      <w:pPr>
        <w:jc w:val="center"/>
        <w:rPr>
          <w:b/>
          <w:szCs w:val="24"/>
        </w:rPr>
      </w:pPr>
      <w:r w:rsidRPr="00EF7E67">
        <w:rPr>
          <w:b/>
          <w:szCs w:val="24"/>
        </w:rPr>
        <w:t>July 1, 2017</w:t>
      </w:r>
    </w:p>
    <w:p w:rsidR="00EF7E67" w:rsidRPr="00EF7E67" w:rsidRDefault="00EF7E67" w:rsidP="00EF7E67">
      <w:pPr>
        <w:jc w:val="center"/>
        <w:rPr>
          <w:b/>
          <w:szCs w:val="24"/>
        </w:rPr>
      </w:pPr>
    </w:p>
    <w:p w:rsidR="00EF7E67" w:rsidRPr="00D576C4" w:rsidRDefault="00EF7E67" w:rsidP="00EF7E67">
      <w:pPr>
        <w:rPr>
          <w:szCs w:val="24"/>
        </w:rPr>
      </w:pPr>
    </w:p>
    <w:p w:rsidR="00EF7E67" w:rsidRPr="00D576C4" w:rsidRDefault="00EF7E67" w:rsidP="00EF7E67">
      <w:pPr>
        <w:tabs>
          <w:tab w:val="left" w:pos="-1080"/>
          <w:tab w:val="left" w:pos="-720"/>
          <w:tab w:val="left" w:pos="0"/>
          <w:tab w:val="left" w:pos="360"/>
        </w:tabs>
        <w:outlineLvl w:val="0"/>
        <w:rPr>
          <w:rFonts w:eastAsia="Times New Roman"/>
          <w:snapToGrid w:val="0"/>
          <w:szCs w:val="24"/>
        </w:rPr>
      </w:pPr>
      <w:r w:rsidRPr="00D576C4">
        <w:rPr>
          <w:rFonts w:eastAsia="Times New Roman"/>
          <w:b/>
          <w:snapToGrid w:val="0"/>
          <w:szCs w:val="24"/>
          <w:u w:val="single"/>
        </w:rPr>
        <w:t>POLICY/PRINCIPLES</w:t>
      </w:r>
    </w:p>
    <w:p w:rsidR="00EF7E67" w:rsidRPr="00D576C4" w:rsidRDefault="00EF7E67" w:rsidP="00EF7E67">
      <w:pPr>
        <w:tabs>
          <w:tab w:val="left" w:pos="-1080"/>
          <w:tab w:val="left" w:pos="-720"/>
          <w:tab w:val="left" w:pos="0"/>
          <w:tab w:val="left" w:pos="360"/>
        </w:tabs>
        <w:rPr>
          <w:szCs w:val="24"/>
        </w:rPr>
      </w:pPr>
    </w:p>
    <w:p w:rsidR="00EF7E67" w:rsidRPr="00D576C4" w:rsidRDefault="00EF7E67" w:rsidP="00EF7E67">
      <w:p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color w:val="000000"/>
          <w:szCs w:val="24"/>
        </w:rPr>
        <w:t xml:space="preserve">It is the policy of </w:t>
      </w:r>
      <w:r>
        <w:rPr>
          <w:rFonts w:eastAsia="Times New Roman"/>
          <w:snapToGrid w:val="0"/>
          <w:color w:val="000000"/>
          <w:szCs w:val="24"/>
        </w:rPr>
        <w:t>PAM Rehabilitation Hospital of Round Rock</w:t>
      </w:r>
      <w:r w:rsidRPr="00D576C4">
        <w:rPr>
          <w:rFonts w:eastAsia="Times New Roman"/>
          <w:snapToGrid w:val="0"/>
          <w:color w:val="000000"/>
          <w:szCs w:val="24"/>
        </w:rPr>
        <w:t xml:space="preserve"> (the “Organization”) to ensure a socially just practice for providing emergency or other medically necessary care at the Organization’s facilities.  This policy is specifically designed to address the financial assistance eligibility for patients who are in need of financial assistance and receive care from the Organization.</w:t>
      </w:r>
    </w:p>
    <w:p w:rsidR="00EF7E67" w:rsidRPr="00D576C4" w:rsidRDefault="00EF7E67" w:rsidP="00EF7E67">
      <w:pPr>
        <w:tabs>
          <w:tab w:val="left" w:pos="-1080"/>
          <w:tab w:val="left" w:pos="-720"/>
          <w:tab w:val="left" w:pos="0"/>
          <w:tab w:val="left" w:pos="360"/>
        </w:tabs>
        <w:jc w:val="both"/>
        <w:rPr>
          <w:rFonts w:eastAsia="Times New Roman"/>
          <w:snapToGrid w:val="0"/>
          <w:color w:val="000000"/>
          <w:szCs w:val="24"/>
        </w:rPr>
      </w:pPr>
    </w:p>
    <w:p w:rsidR="00EF7E67" w:rsidRPr="00D576C4" w:rsidRDefault="00EF7E67" w:rsidP="00EF7E67">
      <w:pPr>
        <w:widowControl w:val="0"/>
        <w:numPr>
          <w:ilvl w:val="0"/>
          <w:numId w:val="2"/>
        </w:numPr>
        <w:tabs>
          <w:tab w:val="left" w:pos="-1080"/>
          <w:tab w:val="left" w:pos="-720"/>
          <w:tab w:val="left" w:pos="0"/>
        </w:tabs>
        <w:jc w:val="both"/>
        <w:rPr>
          <w:rFonts w:eastAsia="Times New Roman"/>
          <w:snapToGrid w:val="0"/>
          <w:szCs w:val="24"/>
        </w:rPr>
      </w:pPr>
      <w:r w:rsidRPr="00D576C4">
        <w:rPr>
          <w:rFonts w:eastAsia="Times New Roman"/>
          <w:snapToGrid w:val="0"/>
          <w:szCs w:val="24"/>
        </w:rPr>
        <w:t>All financial assistance will reflect our commitment to and reverence for individual human dignity and the common good, our special concern for and solidarity with persons living in poverty and other vulnerable persons, and our commitment to distributive justice and stewardship.</w:t>
      </w:r>
    </w:p>
    <w:p w:rsidR="00EF7E67" w:rsidRPr="00D576C4" w:rsidRDefault="00EF7E67" w:rsidP="00EF7E67">
      <w:pPr>
        <w:ind w:left="720"/>
        <w:jc w:val="both"/>
        <w:rPr>
          <w:rFonts w:eastAsia="Times New Roman"/>
          <w:snapToGrid w:val="0"/>
          <w:szCs w:val="24"/>
        </w:rPr>
      </w:pPr>
    </w:p>
    <w:p w:rsidR="00EF7E67" w:rsidRPr="00D576C4" w:rsidRDefault="00EF7E67" w:rsidP="00EF7E67">
      <w:pPr>
        <w:widowControl w:val="0"/>
        <w:numPr>
          <w:ilvl w:val="0"/>
          <w:numId w:val="2"/>
        </w:numPr>
        <w:tabs>
          <w:tab w:val="left" w:pos="-1080"/>
          <w:tab w:val="left" w:pos="-720"/>
          <w:tab w:val="left" w:pos="0"/>
        </w:tabs>
        <w:jc w:val="both"/>
        <w:rPr>
          <w:rFonts w:eastAsia="Times New Roman"/>
          <w:snapToGrid w:val="0"/>
          <w:szCs w:val="24"/>
        </w:rPr>
      </w:pPr>
      <w:r w:rsidRPr="00D576C4">
        <w:rPr>
          <w:rFonts w:eastAsia="Times New Roman"/>
          <w:snapToGrid w:val="0"/>
          <w:szCs w:val="24"/>
        </w:rPr>
        <w:t xml:space="preserve">This policy applies to all emergency and other medically necessary services provided by the Organization, including employed physician services and behavioral health.  This policy does not apply to payment arrangements for elective procedures or other care that is not emergency care or otherwise medically necessary. </w:t>
      </w:r>
    </w:p>
    <w:p w:rsidR="00EF7E67" w:rsidRPr="00D576C4" w:rsidRDefault="00EF7E67" w:rsidP="00EF7E67">
      <w:pPr>
        <w:pStyle w:val="ListParagraph"/>
        <w:jc w:val="both"/>
        <w:rPr>
          <w:rFonts w:eastAsia="Times New Roman"/>
          <w:snapToGrid w:val="0"/>
          <w:szCs w:val="24"/>
        </w:rPr>
      </w:pPr>
    </w:p>
    <w:p w:rsidR="00EF7E67" w:rsidRPr="00D576C4" w:rsidRDefault="00EF7E67" w:rsidP="00EF7E67">
      <w:pPr>
        <w:widowControl w:val="0"/>
        <w:numPr>
          <w:ilvl w:val="0"/>
          <w:numId w:val="2"/>
        </w:numPr>
        <w:tabs>
          <w:tab w:val="left" w:pos="-1080"/>
          <w:tab w:val="left" w:pos="-720"/>
          <w:tab w:val="left" w:pos="0"/>
        </w:tabs>
        <w:jc w:val="both"/>
        <w:rPr>
          <w:rFonts w:eastAsia="Times New Roman"/>
          <w:snapToGrid w:val="0"/>
          <w:szCs w:val="24"/>
        </w:rPr>
      </w:pPr>
      <w:r>
        <w:rPr>
          <w:rFonts w:eastAsia="Times New Roman"/>
          <w:snapToGrid w:val="0"/>
          <w:szCs w:val="24"/>
        </w:rPr>
        <w:t>The List of Providers Covered by the Financial Assistance Policy</w:t>
      </w:r>
      <w:r w:rsidRPr="00D576C4">
        <w:rPr>
          <w:rFonts w:eastAsia="Times New Roman"/>
          <w:snapToGrid w:val="0"/>
          <w:szCs w:val="24"/>
        </w:rPr>
        <w:t xml:space="preserve"> provides a list of any providers delivering care within the Organization’s facilities</w:t>
      </w:r>
      <w:r w:rsidRPr="00D576C4">
        <w:rPr>
          <w:rFonts w:eastAsia="Times New Roman"/>
          <w:snapToGrid w:val="0"/>
          <w:color w:val="000000"/>
          <w:szCs w:val="24"/>
        </w:rPr>
        <w:t xml:space="preserve"> that specifies which are covered by the financial assistance policy and which are not. </w:t>
      </w:r>
    </w:p>
    <w:p w:rsidR="00EF7E67" w:rsidRPr="00D576C4" w:rsidRDefault="00EF7E67" w:rsidP="00EF7E67">
      <w:pPr>
        <w:tabs>
          <w:tab w:val="left" w:pos="-1080"/>
          <w:tab w:val="left" w:pos="-720"/>
          <w:tab w:val="left" w:pos="0"/>
          <w:tab w:val="left" w:pos="360"/>
        </w:tabs>
        <w:rPr>
          <w:rFonts w:eastAsia="Times New Roman"/>
          <w:snapToGrid w:val="0"/>
          <w:color w:val="000000"/>
          <w:szCs w:val="24"/>
        </w:rPr>
      </w:pPr>
    </w:p>
    <w:p w:rsidR="00EF7E67" w:rsidRPr="00D576C4" w:rsidRDefault="00EF7E67" w:rsidP="00EF7E67">
      <w:pPr>
        <w:tabs>
          <w:tab w:val="left" w:pos="-1080"/>
          <w:tab w:val="left" w:pos="-720"/>
          <w:tab w:val="left" w:pos="0"/>
          <w:tab w:val="left" w:pos="360"/>
        </w:tabs>
        <w:outlineLvl w:val="0"/>
        <w:rPr>
          <w:rFonts w:eastAsia="Times New Roman"/>
          <w:b/>
          <w:snapToGrid w:val="0"/>
          <w:color w:val="000000"/>
          <w:szCs w:val="24"/>
          <w:u w:val="single"/>
        </w:rPr>
      </w:pPr>
      <w:r w:rsidRPr="00D576C4">
        <w:rPr>
          <w:rFonts w:eastAsia="Times New Roman"/>
          <w:b/>
          <w:snapToGrid w:val="0"/>
          <w:color w:val="000000"/>
          <w:szCs w:val="24"/>
          <w:u w:val="single"/>
        </w:rPr>
        <w:t>DEFINITIONS</w:t>
      </w:r>
    </w:p>
    <w:p w:rsidR="00EF7E67" w:rsidRPr="00D576C4" w:rsidRDefault="00EF7E67" w:rsidP="00EF7E67">
      <w:pPr>
        <w:tabs>
          <w:tab w:val="left" w:pos="-1080"/>
          <w:tab w:val="left" w:pos="-720"/>
          <w:tab w:val="left" w:pos="0"/>
          <w:tab w:val="left" w:pos="360"/>
        </w:tabs>
        <w:rPr>
          <w:rFonts w:eastAsia="Times New Roman"/>
          <w:snapToGrid w:val="0"/>
          <w:color w:val="000000"/>
          <w:szCs w:val="24"/>
        </w:rPr>
      </w:pPr>
    </w:p>
    <w:p w:rsidR="00EF7E67" w:rsidRPr="00D576C4" w:rsidRDefault="00EF7E67" w:rsidP="00EF7E67">
      <w:pPr>
        <w:tabs>
          <w:tab w:val="left" w:pos="-1080"/>
          <w:tab w:val="left" w:pos="-720"/>
          <w:tab w:val="left" w:pos="0"/>
          <w:tab w:val="left" w:pos="360"/>
        </w:tabs>
        <w:rPr>
          <w:rFonts w:eastAsia="Times New Roman"/>
          <w:snapToGrid w:val="0"/>
          <w:color w:val="000000"/>
          <w:szCs w:val="24"/>
        </w:rPr>
      </w:pPr>
      <w:r w:rsidRPr="00D576C4">
        <w:rPr>
          <w:rFonts w:eastAsia="Times New Roman"/>
          <w:snapToGrid w:val="0"/>
          <w:color w:val="000000"/>
          <w:szCs w:val="24"/>
        </w:rPr>
        <w:t>For the purposes of this Policy, the following definitions apply:</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color w:val="000000"/>
          <w:szCs w:val="24"/>
        </w:rPr>
        <w:t>“</w:t>
      </w:r>
      <w:r w:rsidRPr="00D576C4">
        <w:rPr>
          <w:rFonts w:eastAsia="Times New Roman"/>
          <w:b/>
          <w:snapToGrid w:val="0"/>
          <w:color w:val="000000"/>
          <w:szCs w:val="24"/>
        </w:rPr>
        <w:t>501(r)</w:t>
      </w:r>
      <w:r w:rsidRPr="00D576C4">
        <w:rPr>
          <w:rFonts w:eastAsia="Times New Roman"/>
          <w:snapToGrid w:val="0"/>
          <w:color w:val="000000"/>
          <w:szCs w:val="24"/>
        </w:rPr>
        <w:t>” means Section 501(r) of the Internal Revenue Code and the regulations promulgated thereunder.</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color w:val="000000"/>
          <w:szCs w:val="24"/>
        </w:rPr>
        <w:t>“</w:t>
      </w:r>
      <w:r w:rsidRPr="00D576C4">
        <w:rPr>
          <w:rFonts w:eastAsia="Times New Roman"/>
          <w:b/>
          <w:snapToGrid w:val="0"/>
          <w:color w:val="000000"/>
          <w:szCs w:val="24"/>
        </w:rPr>
        <w:t>Amount Generally Billed</w:t>
      </w:r>
      <w:r w:rsidRPr="00D576C4">
        <w:rPr>
          <w:rFonts w:eastAsia="Times New Roman"/>
          <w:snapToGrid w:val="0"/>
          <w:color w:val="000000"/>
          <w:szCs w:val="24"/>
        </w:rPr>
        <w:t>” or “</w:t>
      </w:r>
      <w:r w:rsidRPr="00D576C4">
        <w:rPr>
          <w:rFonts w:eastAsia="Times New Roman"/>
          <w:b/>
          <w:snapToGrid w:val="0"/>
          <w:color w:val="000000"/>
          <w:szCs w:val="24"/>
        </w:rPr>
        <w:t>AGB</w:t>
      </w:r>
      <w:r w:rsidRPr="00D576C4">
        <w:rPr>
          <w:rFonts w:eastAsia="Times New Roman"/>
          <w:snapToGrid w:val="0"/>
          <w:color w:val="000000"/>
          <w:szCs w:val="24"/>
        </w:rPr>
        <w:t>” means, with respect to emergency or other medically necessary care, the amount generally billed to individuals who have insurance covering such care.</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szCs w:val="24"/>
        </w:rPr>
        <w:t>“</w:t>
      </w:r>
      <w:r w:rsidRPr="00D576C4">
        <w:rPr>
          <w:rFonts w:eastAsia="Times New Roman"/>
          <w:b/>
          <w:snapToGrid w:val="0"/>
          <w:szCs w:val="24"/>
        </w:rPr>
        <w:t>Community</w:t>
      </w:r>
      <w:r w:rsidRPr="00D576C4">
        <w:rPr>
          <w:rFonts w:eastAsia="Times New Roman"/>
          <w:snapToGrid w:val="0"/>
          <w:szCs w:val="24"/>
        </w:rPr>
        <w:t xml:space="preserve">” means </w:t>
      </w:r>
      <w:r>
        <w:rPr>
          <w:rFonts w:eastAsia="Times New Roman"/>
          <w:snapToGrid w:val="0"/>
          <w:szCs w:val="24"/>
        </w:rPr>
        <w:t>Williamson and Travis Counties</w:t>
      </w:r>
      <w:r w:rsidRPr="00D576C4">
        <w:rPr>
          <w:rFonts w:eastAsia="Times New Roman"/>
          <w:snapToGrid w:val="0"/>
          <w:szCs w:val="24"/>
        </w:rPr>
        <w:t xml:space="preserve">. </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color w:val="000000"/>
          <w:szCs w:val="24"/>
        </w:rPr>
        <w:t>“</w:t>
      </w:r>
      <w:r w:rsidRPr="00D576C4">
        <w:rPr>
          <w:rFonts w:eastAsia="Times New Roman"/>
          <w:b/>
          <w:snapToGrid w:val="0"/>
          <w:color w:val="000000"/>
          <w:szCs w:val="24"/>
        </w:rPr>
        <w:t>Emergency Care</w:t>
      </w:r>
      <w:r w:rsidRPr="00D576C4">
        <w:rPr>
          <w:rFonts w:eastAsia="Times New Roman"/>
          <w:snapToGrid w:val="0"/>
          <w:color w:val="000000"/>
          <w:szCs w:val="24"/>
        </w:rPr>
        <w:t xml:space="preserve">” means </w:t>
      </w:r>
      <w:r w:rsidRPr="00471DD4">
        <w:rPr>
          <w:rFonts w:eastAsia="Times New Roman"/>
          <w:snapToGrid w:val="0"/>
          <w:szCs w:val="24"/>
        </w:rPr>
        <w:t>care to treat a medical condition manifesting itself by acute symptoms of sufficient severity (including severe pain) such that the absence of immediate medical attention may result in serious impairment to bodily function, serious dysfunction of any bodily organ or part, or placing the health of the individual in serious jeopardy.</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szCs w:val="24"/>
        </w:rPr>
        <w:t>“</w:t>
      </w:r>
      <w:r w:rsidRPr="00D576C4">
        <w:rPr>
          <w:rFonts w:eastAsia="Times New Roman"/>
          <w:b/>
          <w:snapToGrid w:val="0"/>
          <w:szCs w:val="24"/>
        </w:rPr>
        <w:t>Medically Necessary Care</w:t>
      </w:r>
      <w:r w:rsidRPr="00D576C4">
        <w:rPr>
          <w:rFonts w:eastAsia="Times New Roman"/>
          <w:snapToGrid w:val="0"/>
          <w:szCs w:val="24"/>
        </w:rPr>
        <w:t xml:space="preserve">” means care that is determined to be medically necessary following a determination of clinical merit by a licensed </w:t>
      </w:r>
      <w:r>
        <w:rPr>
          <w:rFonts w:eastAsia="Times New Roman"/>
          <w:snapToGrid w:val="0"/>
          <w:szCs w:val="24"/>
        </w:rPr>
        <w:t xml:space="preserve">provider.  In the event that care requested by a Patient covered by this policy is determined not to be medically necessary by a reviewing </w:t>
      </w:r>
      <w:r w:rsidRPr="00D576C4">
        <w:rPr>
          <w:rFonts w:eastAsia="Times New Roman"/>
          <w:snapToGrid w:val="0"/>
          <w:szCs w:val="24"/>
        </w:rPr>
        <w:t>physician</w:t>
      </w:r>
      <w:r>
        <w:rPr>
          <w:rFonts w:eastAsia="Times New Roman"/>
          <w:snapToGrid w:val="0"/>
          <w:szCs w:val="24"/>
        </w:rPr>
        <w:t xml:space="preserve">, that determination also must be confirmed by the admitting or </w:t>
      </w:r>
      <w:r>
        <w:rPr>
          <w:rFonts w:eastAsia="Times New Roman"/>
          <w:snapToGrid w:val="0"/>
          <w:szCs w:val="24"/>
        </w:rPr>
        <w:lastRenderedPageBreak/>
        <w:t>referring</w:t>
      </w:r>
      <w:r w:rsidRPr="00D576C4">
        <w:rPr>
          <w:rFonts w:eastAsia="Times New Roman"/>
          <w:snapToGrid w:val="0"/>
          <w:szCs w:val="24"/>
        </w:rPr>
        <w:t xml:space="preserve"> physician.</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szCs w:val="24"/>
        </w:rPr>
        <w:t>“</w:t>
      </w:r>
      <w:r w:rsidRPr="00D576C4">
        <w:rPr>
          <w:rFonts w:eastAsia="Times New Roman"/>
          <w:b/>
          <w:snapToGrid w:val="0"/>
          <w:szCs w:val="24"/>
        </w:rPr>
        <w:t>Organization</w:t>
      </w:r>
      <w:r w:rsidRPr="00D576C4">
        <w:rPr>
          <w:rFonts w:eastAsia="Times New Roman"/>
          <w:snapToGrid w:val="0"/>
          <w:szCs w:val="24"/>
        </w:rPr>
        <w:t xml:space="preserve">” means </w:t>
      </w:r>
      <w:r>
        <w:rPr>
          <w:rFonts w:eastAsia="Times New Roman"/>
          <w:snapToGrid w:val="0"/>
          <w:szCs w:val="24"/>
        </w:rPr>
        <w:t>PAM Rehabilitation Hospital of Round Rock.</w:t>
      </w:r>
    </w:p>
    <w:p w:rsidR="00EF7E67" w:rsidRPr="00D576C4" w:rsidRDefault="00EF7E67" w:rsidP="00EF7E67">
      <w:pPr>
        <w:widowControl w:val="0"/>
        <w:numPr>
          <w:ilvl w:val="0"/>
          <w:numId w:val="1"/>
        </w:numPr>
        <w:tabs>
          <w:tab w:val="left" w:pos="-1080"/>
          <w:tab w:val="left" w:pos="-720"/>
          <w:tab w:val="left" w:pos="0"/>
          <w:tab w:val="left" w:pos="360"/>
        </w:tabs>
        <w:jc w:val="both"/>
        <w:rPr>
          <w:rFonts w:eastAsia="Times New Roman"/>
          <w:snapToGrid w:val="0"/>
          <w:color w:val="000000"/>
          <w:szCs w:val="24"/>
        </w:rPr>
      </w:pPr>
      <w:r w:rsidRPr="00D576C4">
        <w:rPr>
          <w:rFonts w:eastAsia="Times New Roman"/>
          <w:snapToGrid w:val="0"/>
          <w:color w:val="000000"/>
          <w:szCs w:val="24"/>
        </w:rPr>
        <w:t>“</w:t>
      </w:r>
      <w:r w:rsidRPr="00D576C4">
        <w:rPr>
          <w:rFonts w:eastAsia="Times New Roman"/>
          <w:b/>
          <w:snapToGrid w:val="0"/>
          <w:color w:val="000000"/>
          <w:szCs w:val="24"/>
        </w:rPr>
        <w:t>Patient</w:t>
      </w:r>
      <w:r w:rsidRPr="00D576C4">
        <w:rPr>
          <w:rFonts w:eastAsia="Times New Roman"/>
          <w:snapToGrid w:val="0"/>
          <w:color w:val="000000"/>
          <w:szCs w:val="24"/>
        </w:rPr>
        <w:t>” means those persons who receive emergency or medically necessary care at the Organization and the person who is financially responsible for the care of the patient.</w:t>
      </w:r>
    </w:p>
    <w:p w:rsidR="00EF7E67" w:rsidRPr="00D576C4" w:rsidRDefault="00EF7E67" w:rsidP="00EF7E67">
      <w:pPr>
        <w:tabs>
          <w:tab w:val="left" w:pos="-1080"/>
          <w:tab w:val="left" w:pos="-720"/>
          <w:tab w:val="left" w:pos="0"/>
          <w:tab w:val="left" w:pos="360"/>
        </w:tabs>
        <w:outlineLvl w:val="0"/>
        <w:rPr>
          <w:rFonts w:eastAsia="Times New Roman"/>
          <w:b/>
          <w:snapToGrid w:val="0"/>
          <w:szCs w:val="24"/>
          <w:u w:val="single"/>
        </w:rPr>
      </w:pPr>
      <w:r w:rsidRPr="00D576C4">
        <w:rPr>
          <w:rFonts w:eastAsia="Times New Roman"/>
          <w:snapToGrid w:val="0"/>
          <w:color w:val="000000"/>
          <w:szCs w:val="24"/>
        </w:rPr>
        <w:t xml:space="preserve"> </w:t>
      </w:r>
    </w:p>
    <w:p w:rsidR="00EF7E67" w:rsidRPr="00D576C4" w:rsidRDefault="00EF7E67" w:rsidP="00EF7E67">
      <w:pPr>
        <w:rPr>
          <w:rFonts w:eastAsia="Times New Roman"/>
          <w:b/>
          <w:snapToGrid w:val="0"/>
          <w:color w:val="000000"/>
          <w:szCs w:val="24"/>
          <w:u w:val="single"/>
        </w:rPr>
      </w:pPr>
      <w:r w:rsidRPr="00D576C4">
        <w:rPr>
          <w:rFonts w:eastAsia="Times New Roman"/>
          <w:b/>
          <w:snapToGrid w:val="0"/>
          <w:color w:val="000000"/>
          <w:szCs w:val="24"/>
          <w:u w:val="single"/>
        </w:rPr>
        <w:t>Financial Assistance Provided</w:t>
      </w:r>
    </w:p>
    <w:p w:rsidR="00EF7E67" w:rsidRDefault="00EF7E67" w:rsidP="00EF7E67">
      <w:pPr>
        <w:rPr>
          <w:rFonts w:eastAsia="Times New Roman"/>
          <w:snapToGrid w:val="0"/>
          <w:color w:val="000000"/>
          <w:szCs w:val="24"/>
        </w:rPr>
      </w:pPr>
    </w:p>
    <w:p w:rsidR="00EF7E67" w:rsidRDefault="00EF7E67" w:rsidP="00EF7E67">
      <w:pPr>
        <w:rPr>
          <w:rFonts w:eastAsia="Times New Roman"/>
          <w:snapToGrid w:val="0"/>
          <w:color w:val="000000"/>
          <w:szCs w:val="24"/>
        </w:rPr>
      </w:pPr>
      <w:r>
        <w:rPr>
          <w:rFonts w:eastAsia="Times New Roman"/>
          <w:snapToGrid w:val="0"/>
          <w:color w:val="000000"/>
          <w:szCs w:val="24"/>
        </w:rPr>
        <w:t>Financial assistance described in this section is limited to Patients that live in the Community:</w:t>
      </w:r>
    </w:p>
    <w:p w:rsidR="00EF7E67" w:rsidRPr="00D576C4" w:rsidRDefault="00EF7E67" w:rsidP="00EF7E67">
      <w:pPr>
        <w:rPr>
          <w:rFonts w:eastAsia="Times New Roman"/>
          <w:snapToGrid w:val="0"/>
          <w:color w:val="000000"/>
          <w:szCs w:val="24"/>
        </w:rPr>
      </w:pPr>
    </w:p>
    <w:p w:rsidR="00EF7E67" w:rsidRPr="00D576C4" w:rsidRDefault="00EF7E67" w:rsidP="00EF7E67">
      <w:pPr>
        <w:widowControl w:val="0"/>
        <w:numPr>
          <w:ilvl w:val="0"/>
          <w:numId w:val="3"/>
        </w:numPr>
        <w:tabs>
          <w:tab w:val="left" w:pos="-1080"/>
          <w:tab w:val="left" w:pos="-720"/>
          <w:tab w:val="left" w:pos="0"/>
          <w:tab w:val="left" w:pos="1080"/>
        </w:tabs>
        <w:jc w:val="both"/>
        <w:rPr>
          <w:rFonts w:eastAsia="Times New Roman"/>
          <w:snapToGrid w:val="0"/>
          <w:szCs w:val="24"/>
        </w:rPr>
      </w:pPr>
      <w:r w:rsidRPr="00D576C4">
        <w:rPr>
          <w:rFonts w:eastAsia="Times New Roman"/>
          <w:snapToGrid w:val="0"/>
          <w:szCs w:val="24"/>
        </w:rPr>
        <w:t xml:space="preserve">Patients with income less than or equal to 250% of the Federal Poverty Level (“FPL”), will be eligible for 100% charity care write off on that portion of the charges for services for which the </w:t>
      </w:r>
      <w:r>
        <w:rPr>
          <w:rFonts w:eastAsia="Times New Roman"/>
          <w:snapToGrid w:val="0"/>
          <w:szCs w:val="24"/>
        </w:rPr>
        <w:t>P</w:t>
      </w:r>
      <w:r w:rsidRPr="00D576C4">
        <w:rPr>
          <w:rFonts w:eastAsia="Times New Roman"/>
          <w:snapToGrid w:val="0"/>
          <w:szCs w:val="24"/>
        </w:rPr>
        <w:t>atient is responsible following payment by an insurer, if any.</w:t>
      </w:r>
    </w:p>
    <w:p w:rsidR="00EF7E67" w:rsidRPr="00D576C4"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D576C4">
        <w:rPr>
          <w:rFonts w:eastAsia="Times New Roman"/>
          <w:snapToGrid w:val="0"/>
          <w:szCs w:val="24"/>
        </w:rPr>
        <w:t xml:space="preserve">At a minimum, </w:t>
      </w:r>
      <w:r>
        <w:rPr>
          <w:rFonts w:eastAsia="Times New Roman"/>
          <w:snapToGrid w:val="0"/>
          <w:szCs w:val="24"/>
        </w:rPr>
        <w:t>P</w:t>
      </w:r>
      <w:r w:rsidRPr="00D576C4">
        <w:rPr>
          <w:rFonts w:eastAsia="Times New Roman"/>
          <w:snapToGrid w:val="0"/>
          <w:szCs w:val="24"/>
        </w:rPr>
        <w:t xml:space="preserve">atients with incomes above 250% of the FPL but not exceeding </w:t>
      </w:r>
      <w:r>
        <w:rPr>
          <w:rFonts w:eastAsia="Times New Roman"/>
          <w:snapToGrid w:val="0"/>
          <w:szCs w:val="24"/>
        </w:rPr>
        <w:t>375</w:t>
      </w:r>
      <w:r w:rsidRPr="00D576C4">
        <w:rPr>
          <w:rFonts w:eastAsia="Times New Roman"/>
          <w:snapToGrid w:val="0"/>
          <w:szCs w:val="24"/>
        </w:rPr>
        <w:t xml:space="preserve">% of the FPL, will receive a sliding scale discount on that portion of the charges for services provided for which the Patient is responsible following payment by an insurer, if any.  A </w:t>
      </w:r>
      <w:r>
        <w:rPr>
          <w:rFonts w:eastAsia="Times New Roman"/>
          <w:snapToGrid w:val="0"/>
          <w:szCs w:val="24"/>
        </w:rPr>
        <w:t>P</w:t>
      </w:r>
      <w:r w:rsidRPr="00D576C4">
        <w:rPr>
          <w:rFonts w:eastAsia="Times New Roman"/>
          <w:snapToGrid w:val="0"/>
          <w:szCs w:val="24"/>
        </w:rPr>
        <w:t xml:space="preserve">atient eligible for the sliding scale discount will not be charged more than the calculated AGB charges.  </w:t>
      </w:r>
      <w:r w:rsidRPr="00924932">
        <w:rPr>
          <w:rFonts w:eastAsia="Times New Roman"/>
          <w:snapToGrid w:val="0"/>
          <w:szCs w:val="24"/>
        </w:rPr>
        <w:t xml:space="preserve">As such, the </w:t>
      </w:r>
      <w:r>
        <w:rPr>
          <w:rFonts w:eastAsia="Times New Roman"/>
          <w:snapToGrid w:val="0"/>
          <w:szCs w:val="24"/>
        </w:rPr>
        <w:t>P</w:t>
      </w:r>
      <w:r w:rsidRPr="00924932">
        <w:rPr>
          <w:rFonts w:eastAsia="Times New Roman"/>
          <w:snapToGrid w:val="0"/>
          <w:szCs w:val="24"/>
        </w:rPr>
        <w:t>atient portion will be the lessor of the AGB amount or the sliding s</w:t>
      </w:r>
      <w:r>
        <w:rPr>
          <w:rFonts w:eastAsia="Times New Roman"/>
          <w:snapToGrid w:val="0"/>
          <w:szCs w:val="24"/>
        </w:rPr>
        <w:t>cale amount.  The Sliding Scale Amounts document</w:t>
      </w:r>
      <w:r w:rsidRPr="00924932">
        <w:rPr>
          <w:rFonts w:eastAsia="Times New Roman"/>
          <w:snapToGrid w:val="0"/>
          <w:szCs w:val="24"/>
        </w:rPr>
        <w:t xml:space="preserve"> provides a detailed list of the sliding scale amounts.</w:t>
      </w:r>
    </w:p>
    <w:p w:rsidR="00EF7E67"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B90642">
        <w:rPr>
          <w:rFonts w:eastAsia="Times New Roman"/>
          <w:snapToGrid w:val="0"/>
          <w:szCs w:val="24"/>
        </w:rPr>
        <w:t xml:space="preserve">Patients with demonstrated financial needs with income greater than </w:t>
      </w:r>
      <w:r>
        <w:rPr>
          <w:rFonts w:eastAsia="Times New Roman"/>
          <w:snapToGrid w:val="0"/>
          <w:szCs w:val="24"/>
        </w:rPr>
        <w:t xml:space="preserve">375% </w:t>
      </w:r>
      <w:r w:rsidRPr="00D576C4">
        <w:rPr>
          <w:rFonts w:eastAsia="Times New Roman"/>
          <w:snapToGrid w:val="0"/>
          <w:szCs w:val="24"/>
        </w:rPr>
        <w:t xml:space="preserve">of the FPL may be eligible for consideration under a “Means Test” for some discount of their charges for services from the Organization based on a substantive assessment of their ability to pay. </w:t>
      </w:r>
      <w:r>
        <w:rPr>
          <w:rFonts w:eastAsia="Times New Roman"/>
          <w:snapToGrid w:val="0"/>
          <w:szCs w:val="24"/>
        </w:rPr>
        <w:t>A Patient eligible for the “Means Test” discount will not be charged more than the calculated AGB charges.</w:t>
      </w:r>
    </w:p>
    <w:p w:rsidR="00EF7E67" w:rsidRDefault="00EF7E67" w:rsidP="00EF7E67">
      <w:pPr>
        <w:widowControl w:val="0"/>
        <w:numPr>
          <w:ilvl w:val="1"/>
          <w:numId w:val="3"/>
        </w:numPr>
        <w:tabs>
          <w:tab w:val="left" w:pos="-1080"/>
          <w:tab w:val="left" w:pos="-720"/>
          <w:tab w:val="left" w:pos="1080"/>
        </w:tabs>
        <w:jc w:val="both"/>
        <w:rPr>
          <w:rFonts w:eastAsia="Times New Roman"/>
          <w:snapToGrid w:val="0"/>
          <w:szCs w:val="24"/>
        </w:rPr>
      </w:pPr>
      <w:r w:rsidRPr="0058287E">
        <w:rPr>
          <w:rFonts w:eastAsia="Times New Roman"/>
          <w:snapToGrid w:val="0"/>
          <w:szCs w:val="24"/>
        </w:rPr>
        <w:t xml:space="preserve">The amount owed by the </w:t>
      </w:r>
      <w:r>
        <w:rPr>
          <w:rFonts w:eastAsia="Times New Roman"/>
          <w:snapToGrid w:val="0"/>
          <w:szCs w:val="24"/>
        </w:rPr>
        <w:t>P</w:t>
      </w:r>
      <w:r w:rsidRPr="0058287E">
        <w:rPr>
          <w:rFonts w:eastAsia="Times New Roman"/>
          <w:snapToGrid w:val="0"/>
          <w:szCs w:val="24"/>
        </w:rPr>
        <w:t xml:space="preserve">atient, after payment by any/all third party payers, must exceed fifty percent (50%) of the </w:t>
      </w:r>
      <w:r>
        <w:rPr>
          <w:rFonts w:eastAsia="Times New Roman"/>
          <w:snapToGrid w:val="0"/>
          <w:szCs w:val="24"/>
        </w:rPr>
        <w:t>P</w:t>
      </w:r>
      <w:r w:rsidRPr="0058287E">
        <w:rPr>
          <w:rFonts w:eastAsia="Times New Roman"/>
          <w:snapToGrid w:val="0"/>
          <w:szCs w:val="24"/>
        </w:rPr>
        <w:t>atient’s annual income.</w:t>
      </w:r>
    </w:p>
    <w:p w:rsidR="00EF7E67" w:rsidRDefault="00EF7E67" w:rsidP="00EF7E67">
      <w:pPr>
        <w:widowControl w:val="0"/>
        <w:numPr>
          <w:ilvl w:val="1"/>
          <w:numId w:val="3"/>
        </w:numPr>
        <w:tabs>
          <w:tab w:val="left" w:pos="-1080"/>
          <w:tab w:val="left" w:pos="-720"/>
          <w:tab w:val="left" w:pos="1080"/>
        </w:tabs>
        <w:jc w:val="both"/>
        <w:rPr>
          <w:rFonts w:eastAsia="Times New Roman"/>
          <w:snapToGrid w:val="0"/>
          <w:szCs w:val="24"/>
        </w:rPr>
      </w:pPr>
      <w:r w:rsidRPr="0058287E">
        <w:rPr>
          <w:rFonts w:eastAsia="Times New Roman"/>
          <w:snapToGrid w:val="0"/>
          <w:szCs w:val="24"/>
        </w:rPr>
        <w:t>To ensure that financial assistance does not subsidize lifestyle choices, standard allowances consistent with federal and state financial means testing guidelines for clothing, food, housing, utilities and transportation will be utilized to calculate disposable income.</w:t>
      </w:r>
    </w:p>
    <w:p w:rsidR="00EF7E67" w:rsidRPr="00D576C4"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0E15CB">
        <w:rPr>
          <w:rFonts w:eastAsia="Times New Roman"/>
          <w:snapToGrid w:val="0"/>
          <w:szCs w:val="24"/>
        </w:rPr>
        <w:t>For a Patient that participates in certain insurance plans that deem the Organization to be “out-of-network,” the Organization may reduce or deny the financial assistance that would otherwise be available to Patient based upon a review of Patient’s insurance information and other pertinent facts and circumstances</w:t>
      </w:r>
      <w:r>
        <w:rPr>
          <w:rFonts w:eastAsia="Times New Roman"/>
          <w:snapToGrid w:val="0"/>
          <w:szCs w:val="24"/>
        </w:rPr>
        <w:t>.</w:t>
      </w:r>
    </w:p>
    <w:p w:rsidR="00EF7E67" w:rsidRDefault="00EF7E67" w:rsidP="00EF7E67">
      <w:pPr>
        <w:widowControl w:val="0"/>
        <w:numPr>
          <w:ilvl w:val="0"/>
          <w:numId w:val="3"/>
        </w:numPr>
        <w:tabs>
          <w:tab w:val="left" w:pos="-1080"/>
          <w:tab w:val="left" w:pos="-720"/>
          <w:tab w:val="left" w:pos="1080"/>
        </w:tabs>
        <w:jc w:val="both"/>
        <w:rPr>
          <w:rFonts w:eastAsia="Times New Roman"/>
          <w:snapToGrid w:val="0"/>
          <w:szCs w:val="24"/>
        </w:rPr>
      </w:pPr>
      <w:r>
        <w:rPr>
          <w:rFonts w:eastAsia="Times New Roman"/>
          <w:snapToGrid w:val="0"/>
          <w:szCs w:val="24"/>
        </w:rPr>
        <w:t>Patients that are eligible for 100% charity care may be charged a nominal flat fee of up to $15 for services.</w:t>
      </w:r>
    </w:p>
    <w:p w:rsidR="00EF7E67" w:rsidRPr="00D576C4"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D576C4">
        <w:rPr>
          <w:rFonts w:eastAsia="Times New Roman"/>
          <w:snapToGrid w:val="0"/>
          <w:szCs w:val="24"/>
        </w:rPr>
        <w:t>Eligibility for financial assistance may be determined at any point in the revenue cycle and may include the use of presumptive scoring to determine eligibility notwithstanding an applicant’s failure to complete a financial assistance application (“FAP Application”).</w:t>
      </w:r>
    </w:p>
    <w:p w:rsidR="00EF7E67" w:rsidRPr="00B90642"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B90642">
        <w:rPr>
          <w:rFonts w:eastAsia="Times New Roman"/>
          <w:snapToGrid w:val="0"/>
          <w:szCs w:val="24"/>
        </w:rPr>
        <w:t>Eligibility for financial assistance must be determined for any balance for which the patient with financial need is responsible.</w:t>
      </w:r>
    </w:p>
    <w:p w:rsidR="00EF7E67" w:rsidRDefault="00EF7E67" w:rsidP="00EF7E67">
      <w:pPr>
        <w:widowControl w:val="0"/>
        <w:numPr>
          <w:ilvl w:val="0"/>
          <w:numId w:val="3"/>
        </w:numPr>
        <w:tabs>
          <w:tab w:val="left" w:pos="-1080"/>
          <w:tab w:val="left" w:pos="-720"/>
          <w:tab w:val="left" w:pos="1080"/>
        </w:tabs>
        <w:jc w:val="both"/>
        <w:rPr>
          <w:rFonts w:eastAsia="Times New Roman"/>
          <w:snapToGrid w:val="0"/>
          <w:szCs w:val="24"/>
        </w:rPr>
      </w:pPr>
      <w:r w:rsidRPr="00B90642">
        <w:rPr>
          <w:rFonts w:eastAsia="Times New Roman"/>
          <w:snapToGrid w:val="0"/>
          <w:szCs w:val="24"/>
        </w:rPr>
        <w:t xml:space="preserve">The process for </w:t>
      </w:r>
      <w:r>
        <w:rPr>
          <w:rFonts w:eastAsia="Times New Roman"/>
          <w:snapToGrid w:val="0"/>
          <w:szCs w:val="24"/>
        </w:rPr>
        <w:t>P</w:t>
      </w:r>
      <w:r w:rsidRPr="00B90642">
        <w:rPr>
          <w:rFonts w:eastAsia="Times New Roman"/>
          <w:snapToGrid w:val="0"/>
          <w:szCs w:val="24"/>
        </w:rPr>
        <w:t>atients and families to appeal an Organization’s decisions regarding eligibility for financial assistance is as follows:</w:t>
      </w:r>
    </w:p>
    <w:p w:rsidR="00EF7E67" w:rsidRDefault="00EF7E67" w:rsidP="00EF7E67">
      <w:pPr>
        <w:widowControl w:val="0"/>
        <w:numPr>
          <w:ilvl w:val="1"/>
          <w:numId w:val="3"/>
        </w:numPr>
        <w:tabs>
          <w:tab w:val="left" w:pos="-1080"/>
          <w:tab w:val="left" w:pos="-720"/>
        </w:tabs>
        <w:jc w:val="both"/>
        <w:rPr>
          <w:rFonts w:eastAsia="Times New Roman"/>
          <w:snapToGrid w:val="0"/>
          <w:szCs w:val="24"/>
        </w:rPr>
      </w:pPr>
      <w:r w:rsidRPr="00C9214F">
        <w:rPr>
          <w:rFonts w:eastAsia="Times New Roman"/>
          <w:snapToGrid w:val="0"/>
          <w:szCs w:val="24"/>
        </w:rPr>
        <w:t xml:space="preserve">Patients and families may submit a written appeal letter by mail to the </w:t>
      </w:r>
      <w:r>
        <w:rPr>
          <w:rFonts w:eastAsia="Times New Roman"/>
          <w:snapToGrid w:val="0"/>
          <w:szCs w:val="24"/>
        </w:rPr>
        <w:t>Finance D</w:t>
      </w:r>
      <w:r w:rsidRPr="00C9214F">
        <w:rPr>
          <w:rFonts w:eastAsia="Times New Roman"/>
          <w:snapToGrid w:val="0"/>
          <w:szCs w:val="24"/>
        </w:rPr>
        <w:t>epartment. The appeal letter should include financial information, not considered in the Patient’s original Financial Assistance Application, important to reconsidering the Patient’s eligibility for charity care. In addition to the written appeal letter, Patients and families must include documentation of reconsideration information included in the appeal letter. Without appropriate documentation, the consideration of the appeal may be delayed until appropriate documentation is received. The appeal letter and supporting documentation must be mailed to</w:t>
      </w:r>
      <w:r>
        <w:rPr>
          <w:rFonts w:eastAsia="Times New Roman"/>
          <w:snapToGrid w:val="0"/>
          <w:szCs w:val="24"/>
        </w:rPr>
        <w:t xml:space="preserve">: </w:t>
      </w:r>
      <w:r>
        <w:rPr>
          <w:rFonts w:eastAsia="Times New Roman"/>
          <w:b/>
          <w:snapToGrid w:val="0"/>
          <w:szCs w:val="24"/>
        </w:rPr>
        <w:t>Finance Department, 1828 Good Hope Road, Suite 102, Enola, PA 17025.</w:t>
      </w:r>
    </w:p>
    <w:p w:rsidR="00EF7E67" w:rsidRPr="00B90642" w:rsidRDefault="00EF7E67" w:rsidP="00EF7E67">
      <w:pPr>
        <w:widowControl w:val="0"/>
        <w:numPr>
          <w:ilvl w:val="1"/>
          <w:numId w:val="3"/>
        </w:numPr>
        <w:tabs>
          <w:tab w:val="left" w:pos="-1080"/>
          <w:tab w:val="left" w:pos="-720"/>
        </w:tabs>
        <w:ind w:left="1260"/>
        <w:jc w:val="both"/>
        <w:rPr>
          <w:rFonts w:eastAsia="Times New Roman"/>
          <w:snapToGrid w:val="0"/>
          <w:szCs w:val="24"/>
        </w:rPr>
      </w:pPr>
      <w:r>
        <w:rPr>
          <w:rFonts w:eastAsia="Times New Roman"/>
          <w:snapToGrid w:val="0"/>
          <w:szCs w:val="24"/>
        </w:rPr>
        <w:t>All appeals will be considered by PAM Rehabilitation Hospital of Round Rock’s 100% charity care and financial assistance appeals committee, and decisions of the committee will be sent in writing to the Patient or family that filed the appeal.</w:t>
      </w:r>
    </w:p>
    <w:p w:rsidR="00EF7E67" w:rsidRPr="00B90642" w:rsidRDefault="00EF7E67" w:rsidP="00EF7E67">
      <w:pPr>
        <w:tabs>
          <w:tab w:val="left" w:pos="-1080"/>
          <w:tab w:val="left" w:pos="-720"/>
          <w:tab w:val="left" w:pos="1080"/>
        </w:tabs>
        <w:ind w:left="900"/>
        <w:rPr>
          <w:rFonts w:eastAsia="Times New Roman"/>
          <w:snapToGrid w:val="0"/>
          <w:szCs w:val="24"/>
        </w:rPr>
      </w:pPr>
    </w:p>
    <w:p w:rsidR="00EF7E67" w:rsidRPr="00D576C4" w:rsidRDefault="00EF7E67" w:rsidP="00EF7E67">
      <w:pPr>
        <w:tabs>
          <w:tab w:val="left" w:pos="-90"/>
        </w:tabs>
        <w:rPr>
          <w:rFonts w:eastAsia="Times New Roman"/>
          <w:b/>
          <w:snapToGrid w:val="0"/>
          <w:szCs w:val="24"/>
          <w:u w:val="single"/>
        </w:rPr>
      </w:pPr>
      <w:r w:rsidRPr="00B90642">
        <w:rPr>
          <w:rFonts w:eastAsia="Times New Roman"/>
          <w:b/>
          <w:snapToGrid w:val="0"/>
          <w:szCs w:val="24"/>
          <w:u w:val="single"/>
        </w:rPr>
        <w:t xml:space="preserve">Other Assistance </w:t>
      </w:r>
      <w:r w:rsidRPr="00D576C4">
        <w:rPr>
          <w:rFonts w:eastAsia="Times New Roman"/>
          <w:b/>
          <w:snapToGrid w:val="0"/>
          <w:szCs w:val="24"/>
          <w:u w:val="single"/>
        </w:rPr>
        <w:t>for Patients Not Eligible for Financial Assistance</w:t>
      </w:r>
    </w:p>
    <w:p w:rsidR="00EF7E67" w:rsidRPr="00D576C4" w:rsidRDefault="00EF7E67" w:rsidP="00EF7E67">
      <w:pPr>
        <w:tabs>
          <w:tab w:val="left" w:pos="-90"/>
        </w:tabs>
        <w:rPr>
          <w:rFonts w:eastAsia="Times New Roman"/>
          <w:snapToGrid w:val="0"/>
          <w:szCs w:val="24"/>
          <w:u w:val="single"/>
        </w:rPr>
      </w:pPr>
    </w:p>
    <w:p w:rsidR="00EF7E67" w:rsidRPr="00D576C4" w:rsidRDefault="00EF7E67" w:rsidP="00EF7E67">
      <w:pPr>
        <w:tabs>
          <w:tab w:val="left" w:pos="-90"/>
        </w:tabs>
        <w:jc w:val="both"/>
        <w:rPr>
          <w:rFonts w:eastAsia="Times New Roman"/>
          <w:snapToGrid w:val="0"/>
          <w:szCs w:val="24"/>
        </w:rPr>
      </w:pPr>
      <w:r w:rsidRPr="00D576C4">
        <w:rPr>
          <w:rFonts w:eastAsia="Times New Roman"/>
          <w:snapToGrid w:val="0"/>
          <w:szCs w:val="24"/>
        </w:rPr>
        <w:t>Patients who are not eligible for financial assistance, as described above, still may qualify for other types of assistance offered by the Organization.  In the interest of completeness, these other types of assistance are listed here</w:t>
      </w:r>
      <w:r>
        <w:rPr>
          <w:rFonts w:eastAsia="Times New Roman"/>
          <w:snapToGrid w:val="0"/>
          <w:szCs w:val="24"/>
        </w:rPr>
        <w:t>,</w:t>
      </w:r>
      <w:r w:rsidRPr="00D576C4">
        <w:rPr>
          <w:rFonts w:eastAsia="Times New Roman"/>
          <w:snapToGrid w:val="0"/>
          <w:szCs w:val="24"/>
        </w:rPr>
        <w:t xml:space="preserve"> although they are not need-based and are not intended to be subject to 501(r)</w:t>
      </w:r>
      <w:r>
        <w:rPr>
          <w:rFonts w:eastAsia="Times New Roman"/>
          <w:snapToGrid w:val="0"/>
          <w:szCs w:val="24"/>
        </w:rPr>
        <w:t xml:space="preserve"> but are included here for the convenience of the community served by PAM Rehabilitation Hospital of Round Rock</w:t>
      </w:r>
      <w:r w:rsidRPr="00D576C4">
        <w:rPr>
          <w:rFonts w:eastAsia="Times New Roman"/>
          <w:snapToGrid w:val="0"/>
          <w:szCs w:val="24"/>
        </w:rPr>
        <w:t>.</w:t>
      </w:r>
    </w:p>
    <w:p w:rsidR="00EF7E67" w:rsidRPr="00D576C4" w:rsidRDefault="00EF7E67" w:rsidP="00EF7E67">
      <w:pPr>
        <w:tabs>
          <w:tab w:val="left" w:pos="-90"/>
        </w:tabs>
        <w:rPr>
          <w:rFonts w:eastAsia="Times New Roman"/>
          <w:snapToGrid w:val="0"/>
          <w:szCs w:val="24"/>
        </w:rPr>
      </w:pPr>
    </w:p>
    <w:p w:rsidR="00EF7E67" w:rsidRPr="0038137D" w:rsidRDefault="00EF7E67" w:rsidP="00EF7E67">
      <w:pPr>
        <w:widowControl w:val="0"/>
        <w:numPr>
          <w:ilvl w:val="1"/>
          <w:numId w:val="4"/>
        </w:numPr>
        <w:tabs>
          <w:tab w:val="left" w:pos="-1080"/>
          <w:tab w:val="left" w:pos="-720"/>
          <w:tab w:val="left" w:pos="1080"/>
        </w:tabs>
        <w:ind w:left="1080"/>
        <w:jc w:val="both"/>
        <w:rPr>
          <w:szCs w:val="24"/>
        </w:rPr>
      </w:pPr>
      <w:r w:rsidRPr="00D576C4">
        <w:rPr>
          <w:szCs w:val="24"/>
        </w:rPr>
        <w:t xml:space="preserve">Uninsured </w:t>
      </w:r>
      <w:r>
        <w:rPr>
          <w:szCs w:val="24"/>
        </w:rPr>
        <w:t>P</w:t>
      </w:r>
      <w:r w:rsidRPr="00D576C4">
        <w:rPr>
          <w:szCs w:val="24"/>
        </w:rPr>
        <w:t xml:space="preserve">atients who are not eligible for financial assistance will be provided a discount based on the discount provided to the highest-paying </w:t>
      </w:r>
      <w:proofErr w:type="spellStart"/>
      <w:r w:rsidRPr="00D576C4">
        <w:rPr>
          <w:szCs w:val="24"/>
        </w:rPr>
        <w:t>payor</w:t>
      </w:r>
      <w:proofErr w:type="spellEnd"/>
      <w:r w:rsidRPr="00D576C4">
        <w:rPr>
          <w:szCs w:val="24"/>
        </w:rPr>
        <w:t xml:space="preserve"> for that Organization.  The highest paying </w:t>
      </w:r>
      <w:proofErr w:type="spellStart"/>
      <w:r w:rsidRPr="00D576C4">
        <w:rPr>
          <w:szCs w:val="24"/>
        </w:rPr>
        <w:t>payor</w:t>
      </w:r>
      <w:proofErr w:type="spellEnd"/>
      <w:r w:rsidRPr="00D576C4">
        <w:rPr>
          <w:szCs w:val="24"/>
        </w:rPr>
        <w:t xml:space="preserve"> must account for at least 3% of the Organization</w:t>
      </w:r>
      <w:r w:rsidRPr="00B90642">
        <w:rPr>
          <w:szCs w:val="24"/>
        </w:rPr>
        <w:t xml:space="preserve">’s population as measured by volume or gross patient revenues.  If a single </w:t>
      </w:r>
      <w:proofErr w:type="spellStart"/>
      <w:r w:rsidRPr="00B90642">
        <w:rPr>
          <w:szCs w:val="24"/>
        </w:rPr>
        <w:t>payor</w:t>
      </w:r>
      <w:proofErr w:type="spellEnd"/>
      <w:r w:rsidRPr="00B90642">
        <w:rPr>
          <w:szCs w:val="24"/>
        </w:rPr>
        <w:t xml:space="preserve"> does not account for this minimum level of volume, more than one </w:t>
      </w:r>
      <w:proofErr w:type="spellStart"/>
      <w:r w:rsidRPr="00B90642">
        <w:rPr>
          <w:szCs w:val="24"/>
        </w:rPr>
        <w:t>payor</w:t>
      </w:r>
      <w:proofErr w:type="spellEnd"/>
      <w:r w:rsidRPr="00B90642">
        <w:rPr>
          <w:szCs w:val="24"/>
        </w:rPr>
        <w:t xml:space="preserve"> contract should be averaged such that the payment terms that are used for averaging account for at least 3% of the volume of the Organization’s business for that given year.</w:t>
      </w:r>
    </w:p>
    <w:p w:rsidR="00EF7E67" w:rsidRPr="00B90642" w:rsidRDefault="00EF7E67" w:rsidP="00EF7E67">
      <w:pPr>
        <w:widowControl w:val="0"/>
        <w:numPr>
          <w:ilvl w:val="1"/>
          <w:numId w:val="4"/>
        </w:numPr>
        <w:tabs>
          <w:tab w:val="left" w:pos="-1080"/>
          <w:tab w:val="left" w:pos="-720"/>
          <w:tab w:val="left" w:pos="1080"/>
        </w:tabs>
        <w:ind w:left="1080"/>
        <w:jc w:val="both"/>
        <w:rPr>
          <w:szCs w:val="24"/>
        </w:rPr>
      </w:pPr>
      <w:r>
        <w:rPr>
          <w:szCs w:val="24"/>
        </w:rPr>
        <w:t>Uninsured and insured</w:t>
      </w:r>
      <w:r w:rsidRPr="00D576C4">
        <w:rPr>
          <w:szCs w:val="24"/>
        </w:rPr>
        <w:t xml:space="preserve"> </w:t>
      </w:r>
      <w:r>
        <w:rPr>
          <w:szCs w:val="24"/>
        </w:rPr>
        <w:t>P</w:t>
      </w:r>
      <w:r w:rsidRPr="00D576C4">
        <w:rPr>
          <w:szCs w:val="24"/>
        </w:rPr>
        <w:t xml:space="preserve">atients </w:t>
      </w:r>
      <w:r>
        <w:rPr>
          <w:szCs w:val="24"/>
        </w:rPr>
        <w:t xml:space="preserve">who are not eligible for financial assistance </w:t>
      </w:r>
      <w:r>
        <w:rPr>
          <w:rFonts w:eastAsia="Times New Roman"/>
          <w:snapToGrid w:val="0"/>
          <w:szCs w:val="24"/>
        </w:rPr>
        <w:t>may receive a prompt pay discount.</w:t>
      </w:r>
      <w:r w:rsidRPr="0019112D">
        <w:rPr>
          <w:rFonts w:eastAsia="Times New Roman"/>
          <w:snapToGrid w:val="0"/>
          <w:szCs w:val="24"/>
        </w:rPr>
        <w:t xml:space="preserve"> </w:t>
      </w:r>
      <w:r>
        <w:rPr>
          <w:rFonts w:eastAsia="Times New Roman"/>
          <w:snapToGrid w:val="0"/>
          <w:szCs w:val="24"/>
        </w:rPr>
        <w:t xml:space="preserve"> The prompt pay discount may be offered in addition to the uninsured discount described in the immediately preceding paragraph.  </w:t>
      </w:r>
    </w:p>
    <w:p w:rsidR="00EF7E67" w:rsidRPr="0038137D" w:rsidRDefault="00EF7E67" w:rsidP="00EF7E67">
      <w:pPr>
        <w:rPr>
          <w:rFonts w:eastAsia="Times New Roman"/>
          <w:snapToGrid w:val="0"/>
          <w:color w:val="000000"/>
          <w:szCs w:val="24"/>
        </w:rPr>
      </w:pPr>
    </w:p>
    <w:p w:rsidR="00EF7E67" w:rsidRPr="00B90642" w:rsidRDefault="00EF7E67" w:rsidP="00EF7E67">
      <w:pPr>
        <w:rPr>
          <w:rFonts w:eastAsia="Times New Roman"/>
          <w:b/>
          <w:snapToGrid w:val="0"/>
          <w:color w:val="000000"/>
          <w:szCs w:val="24"/>
          <w:u w:val="single"/>
        </w:rPr>
      </w:pPr>
      <w:r w:rsidRPr="00D576C4">
        <w:rPr>
          <w:rFonts w:eastAsia="Times New Roman"/>
          <w:b/>
          <w:snapToGrid w:val="0"/>
          <w:color w:val="000000"/>
          <w:szCs w:val="24"/>
          <w:u w:val="single"/>
        </w:rPr>
        <w:t>Limitations on Charge</w:t>
      </w:r>
      <w:r w:rsidRPr="00B90642">
        <w:rPr>
          <w:rFonts w:eastAsia="Times New Roman"/>
          <w:b/>
          <w:snapToGrid w:val="0"/>
          <w:color w:val="000000"/>
          <w:szCs w:val="24"/>
          <w:u w:val="single"/>
        </w:rPr>
        <w:t>s for Patients Eligible for Financial Assistance</w:t>
      </w:r>
    </w:p>
    <w:p w:rsidR="00EF7E67" w:rsidRPr="00B90642" w:rsidRDefault="00EF7E67" w:rsidP="00EF7E67">
      <w:pPr>
        <w:rPr>
          <w:rFonts w:eastAsia="Times New Roman"/>
          <w:snapToGrid w:val="0"/>
          <w:color w:val="000000"/>
          <w:szCs w:val="24"/>
        </w:rPr>
      </w:pPr>
    </w:p>
    <w:p w:rsidR="00EF7E67" w:rsidRPr="00D576C4" w:rsidRDefault="00EF7E67" w:rsidP="00EF7E67">
      <w:pPr>
        <w:jc w:val="both"/>
        <w:rPr>
          <w:rFonts w:eastAsia="Times New Roman"/>
          <w:snapToGrid w:val="0"/>
          <w:color w:val="000000"/>
          <w:szCs w:val="24"/>
        </w:rPr>
      </w:pPr>
      <w:r w:rsidRPr="0038137D">
        <w:rPr>
          <w:rFonts w:eastAsia="Times New Roman"/>
          <w:snapToGrid w:val="0"/>
          <w:szCs w:val="24"/>
        </w:rPr>
        <w:t>Patients eligible for Financial Assistance</w:t>
      </w:r>
      <w:r w:rsidRPr="00B90642">
        <w:rPr>
          <w:rFonts w:eastAsia="Times New Roman"/>
          <w:snapToGrid w:val="0"/>
          <w:szCs w:val="24"/>
        </w:rPr>
        <w:t xml:space="preserve"> will not be charged individually more than AGB for emergency and other medically necessary care</w:t>
      </w:r>
      <w:r>
        <w:rPr>
          <w:rFonts w:eastAsia="Times New Roman"/>
          <w:snapToGrid w:val="0"/>
          <w:szCs w:val="24"/>
        </w:rPr>
        <w:t xml:space="preserve"> and not more than gross charges for all other medical care</w:t>
      </w:r>
      <w:r w:rsidRPr="00B90642">
        <w:rPr>
          <w:rFonts w:eastAsia="Times New Roman"/>
          <w:snapToGrid w:val="0"/>
          <w:szCs w:val="24"/>
        </w:rPr>
        <w:t>.  The Organization calculate</w:t>
      </w:r>
      <w:r>
        <w:rPr>
          <w:rFonts w:eastAsia="Times New Roman"/>
          <w:snapToGrid w:val="0"/>
          <w:szCs w:val="24"/>
        </w:rPr>
        <w:t>s</w:t>
      </w:r>
      <w:r w:rsidRPr="00B90642">
        <w:rPr>
          <w:rFonts w:eastAsia="Times New Roman"/>
          <w:snapToGrid w:val="0"/>
          <w:szCs w:val="24"/>
        </w:rPr>
        <w:t xml:space="preserve"> </w:t>
      </w:r>
      <w:r>
        <w:rPr>
          <w:rFonts w:eastAsia="Times New Roman"/>
          <w:snapToGrid w:val="0"/>
          <w:szCs w:val="24"/>
        </w:rPr>
        <w:t>one or more</w:t>
      </w:r>
      <w:r w:rsidRPr="00B90642">
        <w:rPr>
          <w:rFonts w:eastAsia="Times New Roman"/>
          <w:snapToGrid w:val="0"/>
          <w:szCs w:val="24"/>
        </w:rPr>
        <w:t xml:space="preserve"> AGB percentages </w:t>
      </w:r>
      <w:r w:rsidRPr="0038137D">
        <w:rPr>
          <w:rFonts w:eastAsia="Times New Roman"/>
          <w:snapToGrid w:val="0"/>
          <w:szCs w:val="24"/>
        </w:rPr>
        <w:t xml:space="preserve">using the </w:t>
      </w:r>
      <w:r w:rsidRPr="00D576C4">
        <w:rPr>
          <w:rFonts w:eastAsia="Times New Roman"/>
          <w:snapToGrid w:val="0"/>
          <w:szCs w:val="24"/>
        </w:rPr>
        <w:t>“look-back” method and including Medicare fee-for-service and all private health insurers that pay claims to the Organization, all in accordance with 501(r)</w:t>
      </w:r>
      <w:r w:rsidRPr="00D576C4">
        <w:rPr>
          <w:rFonts w:eastAsia="Times New Roman"/>
          <w:snapToGrid w:val="0"/>
          <w:color w:val="000000"/>
          <w:szCs w:val="24"/>
        </w:rPr>
        <w:t xml:space="preserve">.  </w:t>
      </w:r>
      <w:r w:rsidRPr="00D576C4">
        <w:rPr>
          <w:rFonts w:eastAsia="Times New Roman"/>
          <w:snapToGrid w:val="0"/>
          <w:szCs w:val="24"/>
        </w:rPr>
        <w:t>A free copy of the AGB calculation</w:t>
      </w:r>
      <w:r>
        <w:rPr>
          <w:rFonts w:eastAsia="Times New Roman"/>
          <w:snapToGrid w:val="0"/>
          <w:szCs w:val="24"/>
        </w:rPr>
        <w:t xml:space="preserve"> description</w:t>
      </w:r>
      <w:r w:rsidRPr="00D576C4">
        <w:rPr>
          <w:rFonts w:eastAsia="Times New Roman"/>
          <w:snapToGrid w:val="0"/>
          <w:szCs w:val="24"/>
        </w:rPr>
        <w:t xml:space="preserve"> and percentage</w:t>
      </w:r>
      <w:r>
        <w:rPr>
          <w:rFonts w:eastAsia="Times New Roman"/>
          <w:snapToGrid w:val="0"/>
          <w:szCs w:val="24"/>
        </w:rPr>
        <w:t>(s)</w:t>
      </w:r>
      <w:r w:rsidRPr="00D576C4">
        <w:rPr>
          <w:rFonts w:eastAsia="Times New Roman"/>
          <w:snapToGrid w:val="0"/>
          <w:szCs w:val="24"/>
        </w:rPr>
        <w:t xml:space="preserve"> may be obtained by </w:t>
      </w:r>
      <w:r>
        <w:rPr>
          <w:rFonts w:eastAsia="Times New Roman"/>
          <w:snapToGrid w:val="0"/>
          <w:szCs w:val="24"/>
        </w:rPr>
        <w:t>mail by calling the Corporate Office at (717) 731-9660 to request a copy be sent to the Patient’s mailing address</w:t>
      </w:r>
      <w:r w:rsidRPr="00D576C4">
        <w:rPr>
          <w:rFonts w:eastAsia="Times New Roman"/>
          <w:snapToGrid w:val="0"/>
          <w:color w:val="000000"/>
          <w:szCs w:val="24"/>
        </w:rPr>
        <w:t>.</w:t>
      </w:r>
    </w:p>
    <w:p w:rsidR="00EF7E67" w:rsidRPr="00D576C4" w:rsidRDefault="00EF7E67" w:rsidP="00EF7E67">
      <w:pPr>
        <w:rPr>
          <w:rFonts w:eastAsia="Times New Roman"/>
          <w:snapToGrid w:val="0"/>
          <w:color w:val="000000"/>
          <w:szCs w:val="24"/>
        </w:rPr>
      </w:pPr>
    </w:p>
    <w:p w:rsidR="00EF7E67" w:rsidRPr="00D576C4" w:rsidRDefault="00EF7E67" w:rsidP="00EF7E67">
      <w:pPr>
        <w:rPr>
          <w:rFonts w:eastAsia="Times New Roman"/>
          <w:b/>
          <w:snapToGrid w:val="0"/>
          <w:color w:val="000000"/>
          <w:szCs w:val="24"/>
          <w:u w:val="single"/>
        </w:rPr>
      </w:pPr>
      <w:r w:rsidRPr="00D576C4">
        <w:rPr>
          <w:rFonts w:eastAsia="Times New Roman"/>
          <w:b/>
          <w:snapToGrid w:val="0"/>
          <w:color w:val="000000"/>
          <w:szCs w:val="24"/>
          <w:u w:val="single"/>
        </w:rPr>
        <w:t>Applying for Financial Assistance and Other Assistance</w:t>
      </w:r>
    </w:p>
    <w:p w:rsidR="00EF7E67" w:rsidRPr="00D576C4" w:rsidRDefault="00EF7E67" w:rsidP="00EF7E67">
      <w:pPr>
        <w:rPr>
          <w:rFonts w:eastAsia="Times New Roman"/>
          <w:snapToGrid w:val="0"/>
          <w:color w:val="000000"/>
          <w:szCs w:val="24"/>
        </w:rPr>
      </w:pPr>
    </w:p>
    <w:p w:rsidR="00EF7E67" w:rsidRPr="00D576C4" w:rsidRDefault="00EF7E67" w:rsidP="00EF7E67">
      <w:pPr>
        <w:jc w:val="both"/>
        <w:rPr>
          <w:rFonts w:eastAsia="Times New Roman"/>
          <w:snapToGrid w:val="0"/>
          <w:color w:val="000000"/>
          <w:szCs w:val="24"/>
        </w:rPr>
      </w:pPr>
      <w:r w:rsidRPr="00D576C4">
        <w:rPr>
          <w:rFonts w:eastAsia="Times New Roman"/>
          <w:snapToGrid w:val="0"/>
          <w:color w:val="000000"/>
          <w:szCs w:val="24"/>
        </w:rPr>
        <w:t xml:space="preserve">A Patient may qualify for financial assistance through presumptive scoring eligibility or by applying for financial assistance by submitting a completed FAP Application.  </w:t>
      </w:r>
      <w:r>
        <w:rPr>
          <w:rFonts w:eastAsia="Times New Roman"/>
          <w:snapToGrid w:val="0"/>
          <w:color w:val="000000"/>
          <w:szCs w:val="24"/>
        </w:rPr>
        <w:t xml:space="preserve">A Patient may be denied financial assistance if the Patient provides false information on a FAP Application or in connection with the presumptive scoring eligibility process.  </w:t>
      </w:r>
      <w:r w:rsidRPr="00D576C4">
        <w:rPr>
          <w:rFonts w:eastAsia="Times New Roman"/>
          <w:snapToGrid w:val="0"/>
          <w:color w:val="000000"/>
          <w:szCs w:val="24"/>
        </w:rPr>
        <w:t xml:space="preserve">The FAP </w:t>
      </w:r>
      <w:r>
        <w:rPr>
          <w:rFonts w:eastAsia="Times New Roman"/>
          <w:snapToGrid w:val="0"/>
          <w:color w:val="000000"/>
          <w:szCs w:val="24"/>
        </w:rPr>
        <w:t>A</w:t>
      </w:r>
      <w:r w:rsidRPr="00D576C4">
        <w:rPr>
          <w:rFonts w:eastAsia="Times New Roman"/>
          <w:snapToGrid w:val="0"/>
          <w:color w:val="000000"/>
          <w:szCs w:val="24"/>
        </w:rPr>
        <w:t xml:space="preserve">pplication and FAP Application Instructions are available </w:t>
      </w:r>
      <w:r w:rsidRPr="005B044F">
        <w:rPr>
          <w:rFonts w:eastAsia="Times New Roman"/>
          <w:snapToGrid w:val="0"/>
          <w:color w:val="000000"/>
          <w:szCs w:val="24"/>
        </w:rPr>
        <w:t>by mail</w:t>
      </w:r>
      <w:r>
        <w:rPr>
          <w:rFonts w:eastAsia="Times New Roman"/>
          <w:snapToGrid w:val="0"/>
          <w:color w:val="000000"/>
          <w:szCs w:val="24"/>
        </w:rPr>
        <w:t>, via the Organization’s website at www.postacutemedical.com or by requesting a copy at the Organization’s facility</w:t>
      </w:r>
      <w:r w:rsidRPr="005B044F">
        <w:rPr>
          <w:rFonts w:eastAsia="Times New Roman"/>
          <w:snapToGrid w:val="0"/>
          <w:color w:val="000000"/>
          <w:szCs w:val="24"/>
        </w:rPr>
        <w:t>. To request a copy of the documents by mail</w:t>
      </w:r>
      <w:r>
        <w:rPr>
          <w:rFonts w:eastAsia="Times New Roman"/>
          <w:snapToGrid w:val="0"/>
          <w:color w:val="000000"/>
          <w:szCs w:val="24"/>
        </w:rPr>
        <w:t xml:space="preserve"> or help with a FAP Application</w:t>
      </w:r>
      <w:r w:rsidRPr="005B044F">
        <w:rPr>
          <w:rFonts w:eastAsia="Times New Roman"/>
          <w:snapToGrid w:val="0"/>
          <w:color w:val="000000"/>
          <w:szCs w:val="24"/>
        </w:rPr>
        <w:t xml:space="preserve">, Patients should call the </w:t>
      </w:r>
      <w:r w:rsidRPr="00A26817">
        <w:rPr>
          <w:rFonts w:eastAsia="Times New Roman"/>
          <w:snapToGrid w:val="0"/>
          <w:color w:val="000000"/>
          <w:szCs w:val="24"/>
        </w:rPr>
        <w:t>Corporate Office at (717) 731-9660</w:t>
      </w:r>
      <w:r w:rsidRPr="005B044F">
        <w:rPr>
          <w:rFonts w:eastAsia="Times New Roman"/>
          <w:snapToGrid w:val="0"/>
          <w:color w:val="000000"/>
          <w:szCs w:val="24"/>
        </w:rPr>
        <w:t>. In each of the aforementioned accessible locations, the FAP Application and FAP Application instructions are available in English</w:t>
      </w:r>
      <w:r>
        <w:rPr>
          <w:rFonts w:eastAsia="Times New Roman"/>
          <w:snapToGrid w:val="0"/>
          <w:color w:val="000000"/>
          <w:szCs w:val="24"/>
        </w:rPr>
        <w:t xml:space="preserve"> and Spanish, Arabic, Korean, Chinese and Vietnamese</w:t>
      </w:r>
      <w:r w:rsidRPr="00D576C4">
        <w:rPr>
          <w:rFonts w:eastAsia="Times New Roman"/>
          <w:snapToGrid w:val="0"/>
          <w:color w:val="000000"/>
          <w:szCs w:val="24"/>
        </w:rPr>
        <w:t>.</w:t>
      </w:r>
    </w:p>
    <w:p w:rsidR="00EF7E67" w:rsidRPr="00D576C4" w:rsidRDefault="00EF7E67" w:rsidP="00EF7E67">
      <w:pPr>
        <w:rPr>
          <w:rFonts w:eastAsia="Times New Roman"/>
          <w:snapToGrid w:val="0"/>
          <w:color w:val="000000"/>
          <w:szCs w:val="24"/>
        </w:rPr>
      </w:pPr>
    </w:p>
    <w:p w:rsidR="00EF7E67" w:rsidRPr="00D576C4" w:rsidRDefault="00EF7E67" w:rsidP="00EF7E67">
      <w:pPr>
        <w:rPr>
          <w:rFonts w:eastAsia="Times New Roman"/>
          <w:b/>
          <w:snapToGrid w:val="0"/>
          <w:color w:val="000000"/>
          <w:szCs w:val="24"/>
          <w:u w:val="single"/>
        </w:rPr>
      </w:pPr>
      <w:r w:rsidRPr="00D576C4">
        <w:rPr>
          <w:rFonts w:eastAsia="Times New Roman"/>
          <w:b/>
          <w:snapToGrid w:val="0"/>
          <w:color w:val="000000"/>
          <w:szCs w:val="24"/>
          <w:u w:val="single"/>
        </w:rPr>
        <w:t>Billing and Collections</w:t>
      </w:r>
    </w:p>
    <w:p w:rsidR="00EF7E67" w:rsidRPr="00D576C4" w:rsidRDefault="00EF7E67" w:rsidP="00EF7E67">
      <w:pPr>
        <w:rPr>
          <w:rFonts w:eastAsia="Times New Roman"/>
          <w:snapToGrid w:val="0"/>
          <w:color w:val="000000"/>
          <w:szCs w:val="24"/>
        </w:rPr>
      </w:pPr>
    </w:p>
    <w:p w:rsidR="00EF7E67" w:rsidRPr="00D576C4" w:rsidRDefault="00EF7E67" w:rsidP="00EF7E67">
      <w:pPr>
        <w:jc w:val="both"/>
        <w:rPr>
          <w:rFonts w:eastAsia="Times New Roman"/>
          <w:snapToGrid w:val="0"/>
          <w:color w:val="000000"/>
          <w:szCs w:val="24"/>
        </w:rPr>
      </w:pPr>
      <w:r w:rsidRPr="00D576C4">
        <w:rPr>
          <w:rFonts w:eastAsia="Times New Roman"/>
          <w:snapToGrid w:val="0"/>
          <w:color w:val="000000"/>
          <w:szCs w:val="24"/>
        </w:rPr>
        <w:t xml:space="preserve">The actions that the Organization may take in the event of nonpayment are described in a separate billing and collections policy.  A free copy of the billing and collections policy may be obtained by </w:t>
      </w:r>
      <w:r>
        <w:rPr>
          <w:rFonts w:eastAsia="Times New Roman"/>
          <w:snapToGrid w:val="0"/>
          <w:color w:val="000000"/>
          <w:szCs w:val="24"/>
        </w:rPr>
        <w:t xml:space="preserve">upon Patient request at the time of service or </w:t>
      </w:r>
      <w:r w:rsidRPr="00D576C4">
        <w:rPr>
          <w:rFonts w:eastAsia="Times New Roman"/>
          <w:snapToGrid w:val="0"/>
          <w:color w:val="000000"/>
          <w:szCs w:val="24"/>
        </w:rPr>
        <w:t xml:space="preserve">by </w:t>
      </w:r>
      <w:r>
        <w:rPr>
          <w:rFonts w:eastAsia="Times New Roman"/>
          <w:snapToGrid w:val="0"/>
          <w:color w:val="000000"/>
          <w:szCs w:val="24"/>
        </w:rPr>
        <w:t xml:space="preserve">contacting the </w:t>
      </w:r>
      <w:r w:rsidRPr="00A26817">
        <w:rPr>
          <w:rFonts w:eastAsia="Times New Roman"/>
          <w:snapToGrid w:val="0"/>
          <w:color w:val="000000"/>
          <w:szCs w:val="24"/>
        </w:rPr>
        <w:t>Corporate Office at (717) 731-9660</w:t>
      </w:r>
      <w:r w:rsidRPr="00D576C4">
        <w:rPr>
          <w:rFonts w:eastAsia="Times New Roman"/>
          <w:snapToGrid w:val="0"/>
          <w:color w:val="000000"/>
          <w:szCs w:val="24"/>
        </w:rPr>
        <w:t>.</w:t>
      </w:r>
    </w:p>
    <w:p w:rsidR="00EF7E67" w:rsidRPr="00B90642" w:rsidRDefault="00EF7E67" w:rsidP="00EF7E67">
      <w:pPr>
        <w:jc w:val="both"/>
        <w:rPr>
          <w:rFonts w:eastAsia="Times New Roman"/>
          <w:snapToGrid w:val="0"/>
          <w:color w:val="000000"/>
          <w:szCs w:val="24"/>
        </w:rPr>
      </w:pPr>
    </w:p>
    <w:p w:rsidR="00EF7E67" w:rsidRPr="00B90642" w:rsidRDefault="00EF7E67" w:rsidP="00EF7E67">
      <w:pPr>
        <w:jc w:val="both"/>
        <w:rPr>
          <w:rFonts w:eastAsia="Times New Roman"/>
          <w:b/>
          <w:snapToGrid w:val="0"/>
          <w:color w:val="000000"/>
          <w:szCs w:val="24"/>
          <w:u w:val="single"/>
        </w:rPr>
      </w:pPr>
      <w:r w:rsidRPr="00B90642">
        <w:rPr>
          <w:rFonts w:eastAsia="Times New Roman"/>
          <w:b/>
          <w:snapToGrid w:val="0"/>
          <w:color w:val="000000"/>
          <w:szCs w:val="24"/>
          <w:u w:val="single"/>
        </w:rPr>
        <w:t>Interpretation</w:t>
      </w:r>
    </w:p>
    <w:p w:rsidR="00EF7E67" w:rsidRPr="00B90642" w:rsidRDefault="00EF7E67" w:rsidP="00EF7E67">
      <w:pPr>
        <w:jc w:val="both"/>
        <w:rPr>
          <w:rFonts w:eastAsia="Times New Roman"/>
          <w:snapToGrid w:val="0"/>
          <w:color w:val="000000"/>
          <w:szCs w:val="24"/>
        </w:rPr>
      </w:pPr>
    </w:p>
    <w:p w:rsidR="00EF7E67" w:rsidRDefault="00EF7E67" w:rsidP="00EF7E67">
      <w:pPr>
        <w:rPr>
          <w:rFonts w:eastAsia="Times New Roman"/>
          <w:snapToGrid w:val="0"/>
          <w:color w:val="000000"/>
          <w:szCs w:val="24"/>
        </w:rPr>
      </w:pPr>
      <w:r w:rsidRPr="00B90642">
        <w:rPr>
          <w:rFonts w:eastAsia="Times New Roman"/>
          <w:snapToGrid w:val="0"/>
          <w:color w:val="000000"/>
          <w:szCs w:val="24"/>
        </w:rPr>
        <w:t>This policy is intended to comply with 501(r)</w:t>
      </w:r>
      <w:r>
        <w:rPr>
          <w:rFonts w:eastAsia="Times New Roman"/>
          <w:snapToGrid w:val="0"/>
          <w:color w:val="000000"/>
          <w:szCs w:val="24"/>
        </w:rPr>
        <w:t>, except where specifically indicated</w:t>
      </w:r>
      <w:r w:rsidRPr="00B90642">
        <w:rPr>
          <w:rFonts w:eastAsia="Times New Roman"/>
          <w:snapToGrid w:val="0"/>
          <w:color w:val="000000"/>
          <w:szCs w:val="24"/>
        </w:rPr>
        <w:t>.  This policy, together with all applicable procedures, shall be interpreted and applied in accordance with 501(r)</w:t>
      </w:r>
      <w:r w:rsidRPr="002B1E32">
        <w:rPr>
          <w:rFonts w:eastAsia="Times New Roman"/>
          <w:snapToGrid w:val="0"/>
          <w:color w:val="000000"/>
          <w:szCs w:val="24"/>
        </w:rPr>
        <w:t xml:space="preserve"> </w:t>
      </w:r>
      <w:r>
        <w:rPr>
          <w:rFonts w:eastAsia="Times New Roman"/>
          <w:snapToGrid w:val="0"/>
          <w:color w:val="000000"/>
          <w:szCs w:val="24"/>
        </w:rPr>
        <w:t>except where specifically indicated</w:t>
      </w:r>
      <w:r w:rsidRPr="00B90642">
        <w:rPr>
          <w:rFonts w:eastAsia="Times New Roman"/>
          <w:snapToGrid w:val="0"/>
          <w:color w:val="000000"/>
          <w:szCs w:val="24"/>
        </w:rPr>
        <w:t>.</w:t>
      </w:r>
    </w:p>
    <w:p w:rsidR="00EF7E67" w:rsidRDefault="00EF7E67" w:rsidP="00EF7E67">
      <w:pPr>
        <w:rPr>
          <w:rFonts w:eastAsia="Times New Roman"/>
          <w:snapToGrid w:val="0"/>
          <w:color w:val="000000"/>
          <w:szCs w:val="24"/>
        </w:rPr>
      </w:pPr>
      <w:r>
        <w:rPr>
          <w:rFonts w:eastAsia="Times New Roman"/>
          <w:snapToGrid w:val="0"/>
          <w:color w:val="000000"/>
          <w:szCs w:val="24"/>
        </w:rPr>
        <w:br w:type="page"/>
      </w:r>
    </w:p>
    <w:p w:rsidR="00EF7E67" w:rsidRDefault="00EF7E67" w:rsidP="00EF7E67">
      <w:pPr>
        <w:spacing w:after="200" w:line="276" w:lineRule="auto"/>
        <w:jc w:val="center"/>
        <w:rPr>
          <w:rFonts w:eastAsia="Times New Roman"/>
          <w:b/>
          <w:snapToGrid w:val="0"/>
          <w:szCs w:val="24"/>
          <w:u w:val="single"/>
        </w:rPr>
      </w:pPr>
      <w:r>
        <w:rPr>
          <w:rFonts w:eastAsia="Times New Roman"/>
          <w:b/>
          <w:snapToGrid w:val="0"/>
          <w:szCs w:val="24"/>
          <w:u w:val="single"/>
        </w:rPr>
        <w:t>Schedule A</w:t>
      </w:r>
    </w:p>
    <w:p w:rsidR="00EF7E67" w:rsidRDefault="00EF7E67" w:rsidP="00EF7E67">
      <w:pPr>
        <w:jc w:val="center"/>
        <w:rPr>
          <w:b/>
        </w:rPr>
      </w:pPr>
      <w:r>
        <w:rPr>
          <w:b/>
        </w:rPr>
        <w:t>SLIDING SCALE AMOUNTS</w:t>
      </w:r>
    </w:p>
    <w:p w:rsidR="00EF7E67" w:rsidRDefault="00EF7E67" w:rsidP="00EF7E67">
      <w:pPr>
        <w:jc w:val="center"/>
        <w:rPr>
          <w:b/>
        </w:rPr>
      </w:pPr>
    </w:p>
    <w:p w:rsidR="00EF7E67" w:rsidRDefault="00EF7E67" w:rsidP="00EF7E67">
      <w:pPr>
        <w:tabs>
          <w:tab w:val="left" w:pos="-1080"/>
          <w:tab w:val="left" w:pos="-720"/>
          <w:tab w:val="left" w:pos="1080"/>
        </w:tabs>
        <w:spacing w:after="120"/>
        <w:rPr>
          <w:szCs w:val="24"/>
        </w:rPr>
      </w:pPr>
      <w:r w:rsidRPr="001A0BAE">
        <w:rPr>
          <w:noProof/>
        </w:rPr>
        <w:drawing>
          <wp:inline distT="0" distB="0" distL="0" distR="0" wp14:anchorId="60B3A4F4" wp14:editId="66CC14A8">
            <wp:extent cx="5838825" cy="69273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6927367"/>
                    </a:xfrm>
                    <a:prstGeom prst="rect">
                      <a:avLst/>
                    </a:prstGeom>
                    <a:noFill/>
                    <a:ln>
                      <a:noFill/>
                    </a:ln>
                  </pic:spPr>
                </pic:pic>
              </a:graphicData>
            </a:graphic>
          </wp:inline>
        </w:drawing>
      </w:r>
    </w:p>
    <w:p w:rsidR="00EF7E67" w:rsidRDefault="00EF7E67" w:rsidP="00EF7E67">
      <w:pPr>
        <w:tabs>
          <w:tab w:val="left" w:pos="-1080"/>
          <w:tab w:val="left" w:pos="-720"/>
          <w:tab w:val="left" w:pos="1080"/>
        </w:tabs>
        <w:spacing w:after="120"/>
        <w:rPr>
          <w:szCs w:val="24"/>
        </w:rPr>
      </w:pPr>
    </w:p>
    <w:p w:rsidR="00EF7E67" w:rsidRDefault="00EF7E67" w:rsidP="00EF7E67">
      <w:pPr>
        <w:tabs>
          <w:tab w:val="left" w:pos="-1080"/>
          <w:tab w:val="left" w:pos="-720"/>
          <w:tab w:val="left" w:pos="1080"/>
        </w:tabs>
        <w:spacing w:after="120"/>
        <w:rPr>
          <w:szCs w:val="24"/>
        </w:rPr>
      </w:pPr>
      <w:r w:rsidRPr="001A0BAE">
        <w:rPr>
          <w:noProof/>
        </w:rPr>
        <w:drawing>
          <wp:inline distT="0" distB="0" distL="0" distR="0" wp14:anchorId="3E416013" wp14:editId="6D0F9A15">
            <wp:extent cx="5943600" cy="78644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64475"/>
                    </a:xfrm>
                    <a:prstGeom prst="rect">
                      <a:avLst/>
                    </a:prstGeom>
                    <a:noFill/>
                    <a:ln>
                      <a:noFill/>
                    </a:ln>
                  </pic:spPr>
                </pic:pic>
              </a:graphicData>
            </a:graphic>
          </wp:inline>
        </w:drawing>
      </w:r>
    </w:p>
    <w:p w:rsidR="00EF7E67" w:rsidRDefault="00EF7E67" w:rsidP="00EF7E67">
      <w:pPr>
        <w:tabs>
          <w:tab w:val="left" w:pos="-1080"/>
          <w:tab w:val="left" w:pos="-720"/>
          <w:tab w:val="left" w:pos="1080"/>
        </w:tabs>
        <w:spacing w:after="120"/>
        <w:rPr>
          <w:szCs w:val="24"/>
        </w:rPr>
      </w:pPr>
    </w:p>
    <w:p w:rsidR="00EF7E67" w:rsidRPr="009D3BEA" w:rsidRDefault="00EF7E67" w:rsidP="00EF7E67">
      <w:pPr>
        <w:tabs>
          <w:tab w:val="left" w:pos="-1080"/>
          <w:tab w:val="left" w:pos="-720"/>
          <w:tab w:val="left" w:pos="1080"/>
        </w:tabs>
        <w:spacing w:after="120"/>
        <w:rPr>
          <w:szCs w:val="24"/>
        </w:rPr>
      </w:pPr>
      <w:r w:rsidRPr="009F7FDD">
        <w:rPr>
          <w:noProof/>
        </w:rPr>
        <w:drawing>
          <wp:inline distT="0" distB="0" distL="0" distR="0" wp14:anchorId="0A970806" wp14:editId="5F1B9356">
            <wp:extent cx="5943600" cy="230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08225"/>
                    </a:xfrm>
                    <a:prstGeom prst="rect">
                      <a:avLst/>
                    </a:prstGeom>
                    <a:noFill/>
                    <a:ln>
                      <a:noFill/>
                    </a:ln>
                  </pic:spPr>
                </pic:pic>
              </a:graphicData>
            </a:graphic>
          </wp:inline>
        </w:drawing>
      </w:r>
    </w:p>
    <w:p w:rsidR="00EF7E67" w:rsidRDefault="00EF7E67" w:rsidP="00EF7E67">
      <w:pPr>
        <w:jc w:val="center"/>
      </w:pPr>
    </w:p>
    <w:p w:rsidR="00A07993" w:rsidRDefault="00EF7E67"/>
    <w:sectPr w:rsidR="00A0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0F88"/>
    <w:multiLevelType w:val="hybridMultilevel"/>
    <w:tmpl w:val="C6DED96A"/>
    <w:lvl w:ilvl="0" w:tplc="0409000F">
      <w:start w:val="1"/>
      <w:numFmt w:val="decimal"/>
      <w:lvlText w:val="%1."/>
      <w:lvlJc w:val="left"/>
      <w:pPr>
        <w:tabs>
          <w:tab w:val="num" w:pos="360"/>
        </w:tabs>
        <w:ind w:left="360" w:hanging="360"/>
      </w:pPr>
      <w:rPr>
        <w:rFonts w:hint="default"/>
      </w:rPr>
    </w:lvl>
    <w:lvl w:ilvl="1" w:tplc="8188AD30">
      <w:start w:val="1"/>
      <w:numFmt w:val="lowerLetter"/>
      <w:lvlText w:val="%2."/>
      <w:lvlJc w:val="left"/>
      <w:pPr>
        <w:tabs>
          <w:tab w:val="num" w:pos="1080"/>
        </w:tabs>
        <w:ind w:left="1080" w:hanging="360"/>
      </w:pPr>
      <w:rPr>
        <w:rFonts w:ascii="Times New Roman" w:eastAsia="Times New Roman" w:hAnsi="Times New Roman" w:cs="Times New Roman"/>
      </w:rPr>
    </w:lvl>
    <w:lvl w:ilvl="2" w:tplc="04090017">
      <w:start w:val="1"/>
      <w:numFmt w:val="lowerLetter"/>
      <w:lvlText w:val="%3)"/>
      <w:lvlJc w:val="left"/>
      <w:pPr>
        <w:tabs>
          <w:tab w:val="num" w:pos="1800"/>
        </w:tabs>
        <w:ind w:left="1800" w:hanging="180"/>
      </w:pPr>
    </w:lvl>
    <w:lvl w:ilvl="3" w:tplc="159A2D1E">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050E79"/>
    <w:multiLevelType w:val="multilevel"/>
    <w:tmpl w:val="960839B4"/>
    <w:lvl w:ilvl="0">
      <w:start w:val="1"/>
      <w:numFmt w:val="decimal"/>
      <w:lvlText w:val="%1)"/>
      <w:lvlJc w:val="left"/>
      <w:pPr>
        <w:ind w:left="360" w:hanging="360"/>
      </w:pPr>
      <w:rPr>
        <w:rFonts w:hint="default"/>
      </w:rPr>
    </w:lvl>
    <w:lvl w:ilvl="1">
      <w:start w:val="1"/>
      <w:numFmt w:val="decimal"/>
      <w:lvlText w:val="%2."/>
      <w:lvlJc w:val="left"/>
      <w:pPr>
        <w:ind w:left="21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DD6F57"/>
    <w:multiLevelType w:val="hybridMultilevel"/>
    <w:tmpl w:val="06622CE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9202523"/>
    <w:multiLevelType w:val="hybridMultilevel"/>
    <w:tmpl w:val="F6F47968"/>
    <w:lvl w:ilvl="0" w:tplc="210C3548">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7"/>
    <w:rsid w:val="0007134A"/>
    <w:rsid w:val="00D26994"/>
    <w:rsid w:val="00E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F3BB"/>
  <w15:chartTrackingRefBased/>
  <w15:docId w15:val="{865DA574-0631-46C2-B165-F9F68D3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6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23DED143</Template>
  <TotalTime>3</TotalTime>
  <Pages>7</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POLICY/PRINCIPLES</vt:lpstr>
      <vt:lpstr>DEFINITIONS</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Oken</dc:creator>
  <cp:keywords/>
  <dc:description/>
  <cp:lastModifiedBy>Ilene Oken</cp:lastModifiedBy>
  <cp:revision>1</cp:revision>
  <dcterms:created xsi:type="dcterms:W3CDTF">2019-03-13T21:14:00Z</dcterms:created>
  <dcterms:modified xsi:type="dcterms:W3CDTF">2019-03-13T21:17:00Z</dcterms:modified>
</cp:coreProperties>
</file>